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30 vom 14. Februar 2026</w:t>
      </w:r>
    </w:p>
    <w:p>
      <w:r>
        <w:t>GR Gerichte, 2026-02-14, IT</w:t>
      </w:r>
    </w:p>
    <w:p>
      <w:r>
        <w:rPr>
          <w:b/>
        </w:rPr>
        <w:t xml:space="preserve">Quelle: </w:t>
      </w:r>
      <w:r>
        <w:t>https://mcp.opencaselaw.ch/entscheid/gr_gerichte_PVG 2010 30</w:t>
      </w:r>
    </w:p>
    <w:p>
      <w:r>
        <w:t>FR: GR_GERICHTE PVG 2010 30 du 14 février 2026</w:t>
      </w:r>
    </w:p>
    <w:p>
      <w:r>
        <w:t>IT: GR_GERICHTE PVG 2010 30 del 14 febbraio 2026</w:t>
      </w:r>
    </w:p>
    <w:p>
      <w:pPr>
        <w:pStyle w:val="Heading2"/>
      </w:pPr>
      <w:r>
        <w:t>Erwägungen</w:t>
      </w:r>
    </w:p>
    <w:p>
      <w:r>
        <w:rPr>
          <w:b/>
        </w:rPr>
        <w:t>E. 12</w:t>
      </w:r>
    </w:p>
    <w:p>
      <w:r>
        <w:t>/30 Verfahren PVG 2010 146 sto di cui all’art. 20 LGA sarebbe comunque stato salvaguardato, avendo l’autorità statuito sulla questione delle ripetibili anche se solo su esplicita sollecitazione del legale ed in un secondo tempo. b) Neppure le attuali disposizioni sulla procedura ammini- strativa permettono di concludere nel senso perorato nei ricorsi. Giusta l’art. 78 cpv. 1 LGA nella procedura di ricorso o d’azione, la parte soccombente viene di regola obbligata a rimborsare alla parte vincente le spese necessarie causate dalla procedura. A con- trario, non sussiste alcun diritto al riconoscimento di ripetibili per una procedura di opposizione a livello comunale che non rientra manifestamente nei concetti di ricorso o d’azione giusta la LGA. Il rinvio di cui all’art. 2 LGA, precisa l’applicabilità delle disposizioni sulla spiegazione, la rettifica, la revisione e l’esecuzione alla pro- cedura a livello comunale, ma non include nel campo d’applicabi- lità le disposizioni sulle spese e ripetibili della LGA. Che questa fosse espressamente la volontà del legislatore emerge dai lavori preliminari (vedi Messaggio del Governo al Gran Consiglio del 30 maggio 2006 sulla riforma giudiziaria, 2006 – 2007 pag. 559). Per la procedura di opposizione e la ripartizione dei costi in relazione ad autorità di circolo e comunali la LGA non prevedeva alcunché, la- sciando ai circoli ed ai comuni il compito di eventualmente legi- ferare in materia (Messaggio citato pag. 539). c) Il diverso trattamento riservato al pagamento di un’in- dennità alla controparte a seconda del tipo di procedura in oggetto trova in parte la propria giustificazione nella natura stessa dei ri- medi giuridici a disposizione. La procedura di reclamo o di oppo- sizione davanti alla stessa istanza ha come scopo principale quello di alleggerire l’apparato giudiziario, grazie all’evasione della ver- tenza nell’ambito di una procedura semplice, ovvero alla portata di tutti, e molte volte gratuita. Per questo motivo nell’ambito di tali rimedi giuridici non vengono solitamente accordate alla parte vin- cente delle indennità di parte (vedi ad esempio per le procedure rette dall’art. 52 cpv. 3 dalla legge federale sulla parte generale del diritto delle assicurazioni sociali STF 130 V 573 cons. 2.3.2). Nella procedura di ricorso invece, la condanna della parte soccombente a corrispondere le ripetibili è un corollario ai principi di equità e re- sponsabilità per il danno illecitamente cagionato a terzi ed è un di- ritto riconosciuto anche nella maggior parte degli altri cantoni svizzeri (vedi sul tema Marco Borghi e Guido Corti, Compendio di procedura amministrativa ticinese, 159 ss. e pag. 283). R 10 56 Sentenza del 16 agosto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